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3BFE" w14:textId="0008DBCC" w:rsidR="00F1153B" w:rsidRPr="00E4634B" w:rsidRDefault="00F1153B" w:rsidP="00F1153B">
      <w:pPr>
        <w:spacing w:before="0" w:after="0" w:line="240" w:lineRule="auto"/>
        <w:contextualSpacing/>
        <w:rPr>
          <w:rFonts w:ascii="Arial" w:hAnsi="Arial" w:cs="Arial"/>
          <w:b/>
          <w:bCs/>
        </w:rPr>
      </w:pPr>
      <w:r w:rsidRPr="00E4634B">
        <w:rPr>
          <w:rFonts w:ascii="Arial" w:hAnsi="Arial" w:cs="Arial"/>
          <w:b/>
          <w:bCs/>
        </w:rPr>
        <w:t xml:space="preserve">Measure </w:t>
      </w:r>
      <w:r>
        <w:rPr>
          <w:rFonts w:ascii="Arial" w:hAnsi="Arial" w:cs="Arial"/>
          <w:b/>
          <w:bCs/>
        </w:rPr>
        <w:t>4</w:t>
      </w:r>
      <w:r w:rsidR="0008052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Ability of Completers to be Hired </w:t>
      </w:r>
      <w:r w:rsidR="00A95EBF">
        <w:rPr>
          <w:rFonts w:ascii="Arial" w:hAnsi="Arial" w:cs="Arial"/>
          <w:b/>
          <w:bCs/>
        </w:rPr>
        <w:t>in</w:t>
      </w:r>
      <w:r w:rsidR="00CE4FF9">
        <w:rPr>
          <w:rFonts w:ascii="Arial" w:hAnsi="Arial" w:cs="Arial"/>
          <w:b/>
          <w:bCs/>
        </w:rPr>
        <w:t xml:space="preserve"> Education </w:t>
      </w:r>
      <w:r w:rsidR="00A95EBF">
        <w:rPr>
          <w:rFonts w:ascii="Arial" w:hAnsi="Arial" w:cs="Arial"/>
          <w:b/>
          <w:bCs/>
        </w:rPr>
        <w:t>Position</w:t>
      </w:r>
      <w:r w:rsidR="00CE4FF9">
        <w:rPr>
          <w:rFonts w:ascii="Arial" w:hAnsi="Arial" w:cs="Arial"/>
          <w:b/>
          <w:bCs/>
        </w:rPr>
        <w:t>s for which they have been</w:t>
      </w:r>
      <w:r w:rsidR="00A95EBF">
        <w:rPr>
          <w:rFonts w:ascii="Arial" w:hAnsi="Arial" w:cs="Arial"/>
          <w:b/>
          <w:bCs/>
        </w:rPr>
        <w:t xml:space="preserve"> Prepared</w:t>
      </w:r>
      <w:r w:rsidR="00080527">
        <w:rPr>
          <w:rFonts w:ascii="Arial" w:hAnsi="Arial" w:cs="Arial"/>
          <w:b/>
          <w:bCs/>
        </w:rPr>
        <w:t xml:space="preserve"> - Summary</w:t>
      </w:r>
    </w:p>
    <w:p w14:paraId="1572BE52" w14:textId="77777777" w:rsidR="00F1153B" w:rsidRDefault="00F1153B" w:rsidP="00F1153B">
      <w:pPr>
        <w:spacing w:before="0" w:after="0" w:line="240" w:lineRule="auto"/>
        <w:contextualSpacing/>
        <w:rPr>
          <w:rFonts w:ascii="Arial" w:hAnsi="Arial"/>
        </w:rPr>
      </w:pPr>
    </w:p>
    <w:p w14:paraId="1EE4BB79" w14:textId="4E0F86C9" w:rsidR="008B7182" w:rsidRDefault="00F1153B" w:rsidP="00F1153B">
      <w:pPr>
        <w:rPr>
          <w:rFonts w:ascii="Arial" w:hAnsi="Arial" w:cs="Arial"/>
        </w:rPr>
      </w:pPr>
      <w:r>
        <w:rPr>
          <w:rFonts w:ascii="Arial" w:hAnsi="Arial" w:cs="Arial"/>
        </w:rPr>
        <w:t>Ability of completers to be hired in elementary education positions for which they were prepared: See table below.</w:t>
      </w:r>
    </w:p>
    <w:p w14:paraId="13DDA16D" w14:textId="77777777" w:rsidR="00F1153B" w:rsidRDefault="00F1153B" w:rsidP="00F1153B">
      <w:pPr>
        <w:rPr>
          <w:rFonts w:ascii="Arial" w:hAnsi="Arial" w:cs="Arial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442"/>
        <w:gridCol w:w="1293"/>
        <w:gridCol w:w="1508"/>
        <w:gridCol w:w="1325"/>
        <w:gridCol w:w="1309"/>
        <w:gridCol w:w="977"/>
        <w:gridCol w:w="1249"/>
        <w:gridCol w:w="1606"/>
      </w:tblGrid>
      <w:tr w:rsidR="00F1153B" w:rsidRPr="00CA0E5B" w14:paraId="022DE82B" w14:textId="77777777" w:rsidTr="00F748E4">
        <w:trPr>
          <w:trHeight w:val="535"/>
        </w:trPr>
        <w:tc>
          <w:tcPr>
            <w:tcW w:w="1308" w:type="dxa"/>
            <w:vMerge w:val="restart"/>
            <w:shd w:val="clear" w:color="auto" w:fill="EADCF4"/>
          </w:tcPr>
          <w:p w14:paraId="0CCC8E90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Year Completed Program, N=</w:t>
            </w:r>
          </w:p>
        </w:tc>
        <w:tc>
          <w:tcPr>
            <w:tcW w:w="1157" w:type="dxa"/>
            <w:vMerge w:val="restart"/>
            <w:shd w:val="clear" w:color="auto" w:fill="EADCF4"/>
          </w:tcPr>
          <w:p w14:paraId="1E85E80E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Licensure Rate</w:t>
            </w:r>
            <w:r>
              <w:rPr>
                <w:b/>
                <w:bCs/>
              </w:rPr>
              <w:t>*</w:t>
            </w:r>
          </w:p>
        </w:tc>
        <w:tc>
          <w:tcPr>
            <w:tcW w:w="1375" w:type="dxa"/>
            <w:vMerge w:val="restart"/>
            <w:shd w:val="clear" w:color="auto" w:fill="EADCF4"/>
          </w:tcPr>
          <w:p w14:paraId="12242E57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Completion Rate</w:t>
            </w:r>
            <w:r>
              <w:rPr>
                <w:b/>
                <w:bCs/>
              </w:rPr>
              <w:t>^</w:t>
            </w:r>
          </w:p>
        </w:tc>
        <w:tc>
          <w:tcPr>
            <w:tcW w:w="4478" w:type="dxa"/>
            <w:gridSpan w:val="4"/>
            <w:shd w:val="clear" w:color="auto" w:fill="EADCF4"/>
          </w:tcPr>
          <w:p w14:paraId="11127D80" w14:textId="77777777" w:rsidR="00F1153B" w:rsidRPr="00CA0E5B" w:rsidRDefault="00F1153B" w:rsidP="00F748E4">
            <w:pPr>
              <w:jc w:val="center"/>
              <w:rPr>
                <w:b/>
                <w:bCs/>
              </w:rPr>
            </w:pPr>
            <w:r w:rsidRPr="00CA0E5B">
              <w:rPr>
                <w:b/>
                <w:bCs/>
              </w:rPr>
              <w:t>Employment Rate</w:t>
            </w:r>
          </w:p>
        </w:tc>
        <w:tc>
          <w:tcPr>
            <w:tcW w:w="1852" w:type="dxa"/>
            <w:vMerge w:val="restart"/>
            <w:shd w:val="clear" w:color="auto" w:fill="EADCF4"/>
          </w:tcPr>
          <w:p w14:paraId="0D654C54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Location of Employment in Education (1</w:t>
            </w:r>
            <w:r w:rsidRPr="00CA0E5B">
              <w:rPr>
                <w:b/>
                <w:bCs/>
                <w:vertAlign w:val="superscript"/>
              </w:rPr>
              <w:t>st</w:t>
            </w:r>
            <w:r w:rsidRPr="00CA0E5B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>ea</w:t>
            </w:r>
            <w:r w:rsidRPr="00CA0E5B">
              <w:rPr>
                <w:b/>
                <w:bCs/>
              </w:rPr>
              <w:t>r)</w:t>
            </w:r>
          </w:p>
        </w:tc>
      </w:tr>
      <w:tr w:rsidR="00F1153B" w14:paraId="17490AE8" w14:textId="77777777" w:rsidTr="00F748E4">
        <w:trPr>
          <w:trHeight w:val="535"/>
        </w:trPr>
        <w:tc>
          <w:tcPr>
            <w:tcW w:w="1308" w:type="dxa"/>
            <w:vMerge/>
            <w:shd w:val="clear" w:color="auto" w:fill="D9D9D9" w:themeFill="background1" w:themeFillShade="D9"/>
          </w:tcPr>
          <w:p w14:paraId="36306F32" w14:textId="77777777" w:rsidR="00F1153B" w:rsidRDefault="00F1153B" w:rsidP="00F748E4"/>
        </w:tc>
        <w:tc>
          <w:tcPr>
            <w:tcW w:w="1157" w:type="dxa"/>
            <w:vMerge/>
          </w:tcPr>
          <w:p w14:paraId="7B26A622" w14:textId="77777777" w:rsidR="00F1153B" w:rsidRDefault="00F1153B" w:rsidP="00F748E4"/>
        </w:tc>
        <w:tc>
          <w:tcPr>
            <w:tcW w:w="1375" w:type="dxa"/>
            <w:vMerge/>
          </w:tcPr>
          <w:p w14:paraId="14C05672" w14:textId="77777777" w:rsidR="00F1153B" w:rsidRDefault="00F1153B" w:rsidP="00F748E4"/>
        </w:tc>
        <w:tc>
          <w:tcPr>
            <w:tcW w:w="1210" w:type="dxa"/>
            <w:shd w:val="clear" w:color="auto" w:fill="EADCF4"/>
          </w:tcPr>
          <w:p w14:paraId="31C12310" w14:textId="77777777" w:rsidR="00F1153B" w:rsidRPr="00CA0E5B" w:rsidRDefault="00F1153B" w:rsidP="00F748E4">
            <w:pPr>
              <w:rPr>
                <w:b/>
                <w:bCs/>
              </w:rPr>
            </w:pPr>
            <w:r w:rsidRPr="4AE3910A">
              <w:rPr>
                <w:b/>
                <w:bCs/>
              </w:rPr>
              <w:t>Employed in Education</w:t>
            </w:r>
          </w:p>
        </w:tc>
        <w:tc>
          <w:tcPr>
            <w:tcW w:w="1209" w:type="dxa"/>
            <w:shd w:val="clear" w:color="auto" w:fill="EADCF4"/>
          </w:tcPr>
          <w:p w14:paraId="596AF9DF" w14:textId="77777777" w:rsidR="00F1153B" w:rsidRDefault="00F1153B" w:rsidP="00F748E4">
            <w:r w:rsidRPr="4AE3910A">
              <w:rPr>
                <w:b/>
                <w:bCs/>
              </w:rPr>
              <w:t>Employed not in Ed</w:t>
            </w:r>
            <w:r>
              <w:t>.</w:t>
            </w:r>
          </w:p>
        </w:tc>
        <w:tc>
          <w:tcPr>
            <w:tcW w:w="876" w:type="dxa"/>
            <w:shd w:val="clear" w:color="auto" w:fill="EADCF4"/>
          </w:tcPr>
          <w:p w14:paraId="7800D0C7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Grad School</w:t>
            </w:r>
          </w:p>
        </w:tc>
        <w:tc>
          <w:tcPr>
            <w:tcW w:w="1183" w:type="dxa"/>
            <w:shd w:val="clear" w:color="auto" w:fill="EADCF4"/>
          </w:tcPr>
          <w:p w14:paraId="52564A4B" w14:textId="77777777" w:rsidR="00F1153B" w:rsidRPr="00CA0E5B" w:rsidRDefault="00F1153B" w:rsidP="00F748E4">
            <w:pPr>
              <w:rPr>
                <w:b/>
                <w:bCs/>
              </w:rPr>
            </w:pPr>
            <w:r w:rsidRPr="00CA0E5B">
              <w:rPr>
                <w:b/>
                <w:bCs/>
              </w:rPr>
              <w:t>Unknown</w:t>
            </w:r>
          </w:p>
        </w:tc>
        <w:tc>
          <w:tcPr>
            <w:tcW w:w="1852" w:type="dxa"/>
            <w:vMerge/>
          </w:tcPr>
          <w:p w14:paraId="536CFD94" w14:textId="77777777" w:rsidR="00F1153B" w:rsidRDefault="00F1153B" w:rsidP="00F748E4"/>
        </w:tc>
      </w:tr>
      <w:tr w:rsidR="00F1153B" w14:paraId="572A836E" w14:textId="77777777" w:rsidTr="00F748E4">
        <w:tc>
          <w:tcPr>
            <w:tcW w:w="1308" w:type="dxa"/>
          </w:tcPr>
          <w:p w14:paraId="68342E96" w14:textId="77777777" w:rsidR="00F1153B" w:rsidRDefault="00F1153B" w:rsidP="00F748E4">
            <w:r>
              <w:t>2018-19, N=5</w:t>
            </w:r>
          </w:p>
        </w:tc>
        <w:tc>
          <w:tcPr>
            <w:tcW w:w="1157" w:type="dxa"/>
          </w:tcPr>
          <w:p w14:paraId="34EC1532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375" w:type="dxa"/>
          </w:tcPr>
          <w:p w14:paraId="5FF5FDCC" w14:textId="77777777" w:rsidR="00F1153B" w:rsidRDefault="00F1153B" w:rsidP="00F748E4">
            <w:pPr>
              <w:jc w:val="center"/>
            </w:pPr>
            <w:r>
              <w:t>83%</w:t>
            </w:r>
          </w:p>
        </w:tc>
        <w:tc>
          <w:tcPr>
            <w:tcW w:w="1210" w:type="dxa"/>
          </w:tcPr>
          <w:p w14:paraId="7B1664C1" w14:textId="77777777" w:rsidR="00F1153B" w:rsidRDefault="00F1153B" w:rsidP="00F748E4">
            <w:pPr>
              <w:jc w:val="center"/>
            </w:pPr>
            <w:r>
              <w:t>80%</w:t>
            </w:r>
          </w:p>
        </w:tc>
        <w:tc>
          <w:tcPr>
            <w:tcW w:w="1209" w:type="dxa"/>
          </w:tcPr>
          <w:p w14:paraId="252444AA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876" w:type="dxa"/>
          </w:tcPr>
          <w:p w14:paraId="7B6AEDAB" w14:textId="77777777" w:rsidR="00F1153B" w:rsidRDefault="00F1153B" w:rsidP="00F748E4">
            <w:pPr>
              <w:jc w:val="center"/>
            </w:pPr>
            <w:r>
              <w:t>20%</w:t>
            </w:r>
          </w:p>
        </w:tc>
        <w:tc>
          <w:tcPr>
            <w:tcW w:w="1183" w:type="dxa"/>
          </w:tcPr>
          <w:p w14:paraId="502CB700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852" w:type="dxa"/>
          </w:tcPr>
          <w:p w14:paraId="5E755AD5" w14:textId="77777777" w:rsidR="00F1153B" w:rsidRDefault="00F1153B" w:rsidP="00F748E4">
            <w:r>
              <w:t>AK, MT, MN, SD</w:t>
            </w:r>
          </w:p>
        </w:tc>
      </w:tr>
      <w:tr w:rsidR="00F1153B" w14:paraId="4AFEFCA9" w14:textId="77777777" w:rsidTr="00F748E4">
        <w:tc>
          <w:tcPr>
            <w:tcW w:w="1308" w:type="dxa"/>
          </w:tcPr>
          <w:p w14:paraId="1500FBF0" w14:textId="77777777" w:rsidR="00F1153B" w:rsidRDefault="00F1153B" w:rsidP="00F748E4">
            <w:r>
              <w:t>2019-20, N=1</w:t>
            </w:r>
          </w:p>
        </w:tc>
        <w:tc>
          <w:tcPr>
            <w:tcW w:w="1157" w:type="dxa"/>
          </w:tcPr>
          <w:p w14:paraId="61CDEC05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375" w:type="dxa"/>
          </w:tcPr>
          <w:p w14:paraId="33E460BF" w14:textId="77777777" w:rsidR="00F1153B" w:rsidRDefault="00F1153B" w:rsidP="00F748E4">
            <w:pPr>
              <w:jc w:val="center"/>
            </w:pPr>
            <w:r>
              <w:t>20%</w:t>
            </w:r>
          </w:p>
        </w:tc>
        <w:tc>
          <w:tcPr>
            <w:tcW w:w="1210" w:type="dxa"/>
          </w:tcPr>
          <w:p w14:paraId="5B604C90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209" w:type="dxa"/>
          </w:tcPr>
          <w:p w14:paraId="18660D9A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876" w:type="dxa"/>
          </w:tcPr>
          <w:p w14:paraId="1E2485E5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183" w:type="dxa"/>
          </w:tcPr>
          <w:p w14:paraId="7A315776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852" w:type="dxa"/>
          </w:tcPr>
          <w:p w14:paraId="51F54FB0" w14:textId="77777777" w:rsidR="00F1153B" w:rsidRDefault="00F1153B" w:rsidP="00F748E4">
            <w:r>
              <w:t>AZ</w:t>
            </w:r>
          </w:p>
        </w:tc>
      </w:tr>
      <w:tr w:rsidR="00F1153B" w14:paraId="6AED52F6" w14:textId="77777777" w:rsidTr="00F748E4">
        <w:tc>
          <w:tcPr>
            <w:tcW w:w="1308" w:type="dxa"/>
          </w:tcPr>
          <w:p w14:paraId="332FC48D" w14:textId="6F112D3F" w:rsidR="00F1153B" w:rsidRDefault="00606A31" w:rsidP="00F748E4">
            <w:r>
              <w:t>2</w:t>
            </w:r>
            <w:r w:rsidR="00F1153B">
              <w:t>020-21,</w:t>
            </w:r>
          </w:p>
          <w:p w14:paraId="4A9410F1" w14:textId="77777777" w:rsidR="00F1153B" w:rsidRDefault="00F1153B" w:rsidP="00F748E4">
            <w:r>
              <w:t>N=2</w:t>
            </w:r>
          </w:p>
        </w:tc>
        <w:tc>
          <w:tcPr>
            <w:tcW w:w="1157" w:type="dxa"/>
          </w:tcPr>
          <w:p w14:paraId="2D5ABE7A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375" w:type="dxa"/>
          </w:tcPr>
          <w:p w14:paraId="0D4A0865" w14:textId="77777777" w:rsidR="00F1153B" w:rsidRDefault="00F1153B" w:rsidP="00F748E4">
            <w:pPr>
              <w:jc w:val="center"/>
            </w:pPr>
            <w:r>
              <w:t>33.3%</w:t>
            </w:r>
          </w:p>
        </w:tc>
        <w:tc>
          <w:tcPr>
            <w:tcW w:w="1210" w:type="dxa"/>
          </w:tcPr>
          <w:p w14:paraId="6C30B566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209" w:type="dxa"/>
          </w:tcPr>
          <w:p w14:paraId="23ABF86D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876" w:type="dxa"/>
          </w:tcPr>
          <w:p w14:paraId="17663681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183" w:type="dxa"/>
          </w:tcPr>
          <w:p w14:paraId="4745C296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852" w:type="dxa"/>
          </w:tcPr>
          <w:p w14:paraId="5A46D885" w14:textId="77777777" w:rsidR="00F1153B" w:rsidRDefault="00F1153B" w:rsidP="00F748E4">
            <w:r>
              <w:t>NM, IN</w:t>
            </w:r>
          </w:p>
        </w:tc>
      </w:tr>
      <w:tr w:rsidR="00F1153B" w14:paraId="234DBD96" w14:textId="77777777" w:rsidTr="00F748E4">
        <w:tc>
          <w:tcPr>
            <w:tcW w:w="1308" w:type="dxa"/>
          </w:tcPr>
          <w:p w14:paraId="2D948FBE" w14:textId="77777777" w:rsidR="00F1153B" w:rsidRDefault="00F1153B" w:rsidP="00F748E4">
            <w:r>
              <w:t>2021-2022</w:t>
            </w:r>
          </w:p>
          <w:p w14:paraId="375B46EA" w14:textId="77777777" w:rsidR="00F1153B" w:rsidRDefault="00F1153B" w:rsidP="00F748E4">
            <w:r>
              <w:t>N=2</w:t>
            </w:r>
          </w:p>
        </w:tc>
        <w:tc>
          <w:tcPr>
            <w:tcW w:w="1157" w:type="dxa"/>
          </w:tcPr>
          <w:p w14:paraId="43BC3F26" w14:textId="77777777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375" w:type="dxa"/>
          </w:tcPr>
          <w:p w14:paraId="27CF5ADD" w14:textId="77777777" w:rsidR="00F1153B" w:rsidRDefault="00F1153B" w:rsidP="00F748E4">
            <w:pPr>
              <w:jc w:val="center"/>
            </w:pPr>
            <w:r>
              <w:t>33.3%</w:t>
            </w:r>
          </w:p>
        </w:tc>
        <w:tc>
          <w:tcPr>
            <w:tcW w:w="1210" w:type="dxa"/>
          </w:tcPr>
          <w:p w14:paraId="58DDA3C1" w14:textId="77777777" w:rsidR="00F1153B" w:rsidRDefault="00F1153B" w:rsidP="00F748E4">
            <w:pPr>
              <w:jc w:val="center"/>
            </w:pPr>
            <w:r>
              <w:t>50%</w:t>
            </w:r>
          </w:p>
        </w:tc>
        <w:tc>
          <w:tcPr>
            <w:tcW w:w="1209" w:type="dxa"/>
          </w:tcPr>
          <w:p w14:paraId="49E00A4A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876" w:type="dxa"/>
          </w:tcPr>
          <w:p w14:paraId="32F7974B" w14:textId="77777777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183" w:type="dxa"/>
          </w:tcPr>
          <w:p w14:paraId="5F73ECFD" w14:textId="77777777" w:rsidR="00F1153B" w:rsidRDefault="00F1153B" w:rsidP="00F748E4">
            <w:pPr>
              <w:jc w:val="center"/>
            </w:pPr>
            <w:r>
              <w:t>50%</w:t>
            </w:r>
          </w:p>
        </w:tc>
        <w:tc>
          <w:tcPr>
            <w:tcW w:w="1852" w:type="dxa"/>
          </w:tcPr>
          <w:p w14:paraId="7D579074" w14:textId="77777777" w:rsidR="00F1153B" w:rsidRDefault="00F1153B" w:rsidP="00F748E4">
            <w:r>
              <w:t>OK</w:t>
            </w:r>
          </w:p>
        </w:tc>
      </w:tr>
      <w:tr w:rsidR="00F1153B" w14:paraId="50F63340" w14:textId="77777777" w:rsidTr="00F748E4">
        <w:tc>
          <w:tcPr>
            <w:tcW w:w="1308" w:type="dxa"/>
          </w:tcPr>
          <w:p w14:paraId="42BB5D8C" w14:textId="77777777" w:rsidR="00F1153B" w:rsidRDefault="00F1153B" w:rsidP="00F748E4">
            <w:r>
              <w:t>2022-2023</w:t>
            </w:r>
          </w:p>
          <w:p w14:paraId="0DF62C8E" w14:textId="35481AD0" w:rsidR="00F1153B" w:rsidRDefault="00F1153B" w:rsidP="00F748E4">
            <w:r>
              <w:t>N=3</w:t>
            </w:r>
          </w:p>
        </w:tc>
        <w:tc>
          <w:tcPr>
            <w:tcW w:w="1157" w:type="dxa"/>
          </w:tcPr>
          <w:p w14:paraId="38180287" w14:textId="223A2DF6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375" w:type="dxa"/>
          </w:tcPr>
          <w:p w14:paraId="0C25BEB3" w14:textId="113E0623" w:rsidR="00F1153B" w:rsidRDefault="00DA353A" w:rsidP="00F748E4">
            <w:pPr>
              <w:jc w:val="center"/>
            </w:pPr>
            <w:r>
              <w:t>60</w:t>
            </w:r>
            <w:r w:rsidR="00774D65">
              <w:t>%</w:t>
            </w:r>
          </w:p>
        </w:tc>
        <w:tc>
          <w:tcPr>
            <w:tcW w:w="1210" w:type="dxa"/>
          </w:tcPr>
          <w:p w14:paraId="1F11A1B6" w14:textId="203A780E" w:rsidR="00F1153B" w:rsidRDefault="00F1153B" w:rsidP="00F748E4">
            <w:pPr>
              <w:jc w:val="center"/>
            </w:pPr>
            <w:r>
              <w:t>100%</w:t>
            </w:r>
          </w:p>
        </w:tc>
        <w:tc>
          <w:tcPr>
            <w:tcW w:w="1209" w:type="dxa"/>
          </w:tcPr>
          <w:p w14:paraId="02757DF1" w14:textId="22EBB2BF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876" w:type="dxa"/>
          </w:tcPr>
          <w:p w14:paraId="706D2A37" w14:textId="56B2FD82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183" w:type="dxa"/>
          </w:tcPr>
          <w:p w14:paraId="26F96B82" w14:textId="3E56117C" w:rsidR="00F1153B" w:rsidRDefault="00F1153B" w:rsidP="00F748E4">
            <w:pPr>
              <w:jc w:val="center"/>
            </w:pPr>
            <w:r>
              <w:t>0%</w:t>
            </w:r>
          </w:p>
        </w:tc>
        <w:tc>
          <w:tcPr>
            <w:tcW w:w="1852" w:type="dxa"/>
          </w:tcPr>
          <w:p w14:paraId="499E1771" w14:textId="52D9A44E" w:rsidR="00F1153B" w:rsidRDefault="00F1153B" w:rsidP="00F748E4">
            <w:r>
              <w:t>AZ, MO, NE</w:t>
            </w:r>
          </w:p>
        </w:tc>
      </w:tr>
    </w:tbl>
    <w:p w14:paraId="786ED850" w14:textId="77777777" w:rsidR="00F1153B" w:rsidRDefault="00F1153B" w:rsidP="00F1153B">
      <w:pPr>
        <w:spacing w:before="0" w:after="0" w:line="240" w:lineRule="auto"/>
        <w:contextualSpacing/>
        <w:rPr>
          <w:rFonts w:ascii="Arial" w:hAnsi="Arial" w:cs="Arial"/>
        </w:rPr>
      </w:pPr>
    </w:p>
    <w:p w14:paraId="5CAAF248" w14:textId="77777777" w:rsidR="00F1153B" w:rsidRPr="002B2AE4" w:rsidRDefault="00F1153B" w:rsidP="00F1153B">
      <w:pPr>
        <w:spacing w:before="0" w:after="0" w:line="240" w:lineRule="auto"/>
        <w:contextualSpacing/>
        <w:rPr>
          <w:rFonts w:ascii="Arial" w:hAnsi="Arial" w:cs="Arial"/>
        </w:rPr>
      </w:pPr>
    </w:p>
    <w:p w14:paraId="1C5E3586" w14:textId="77777777" w:rsidR="00F1153B" w:rsidRPr="006B3722" w:rsidRDefault="00F1153B" w:rsidP="00F1153B">
      <w:pPr>
        <w:pStyle w:val="ListParagraph"/>
        <w:rPr>
          <w:rFonts w:ascii="Arial" w:hAnsi="Arial" w:cs="Arial"/>
        </w:rPr>
      </w:pPr>
      <w:r w:rsidRPr="006B3722">
        <w:rPr>
          <w:rFonts w:ascii="Arial" w:hAnsi="Arial" w:cs="Arial"/>
        </w:rPr>
        <w:t xml:space="preserve">*Licensure Rate – defined as the ratio of between candidates who obtained licensure and the candidates who completed the program. A 100% licensure rate indicates that all candidates successfully achieved a passing score on the required licensure exams. </w:t>
      </w:r>
    </w:p>
    <w:p w14:paraId="65382939" w14:textId="77777777" w:rsidR="00F1153B" w:rsidRPr="006B3722" w:rsidRDefault="00F1153B" w:rsidP="00F1153B">
      <w:pPr>
        <w:pStyle w:val="ListParagraph"/>
        <w:rPr>
          <w:rFonts w:ascii="Arial" w:hAnsi="Arial" w:cs="Arial"/>
        </w:rPr>
      </w:pPr>
      <w:r w:rsidRPr="006B3722">
        <w:rPr>
          <w:rFonts w:ascii="Arial" w:hAnsi="Arial" w:cs="Arial"/>
        </w:rPr>
        <w:t>^Completion Rate – defined as the ratio between candidates who completed the program and the candidates who entered the program (candidates only counted during their anticipated graduation year).</w:t>
      </w:r>
    </w:p>
    <w:p w14:paraId="1CB28E7D" w14:textId="77777777" w:rsidR="00F1153B" w:rsidRDefault="00F1153B" w:rsidP="00F1153B"/>
    <w:sectPr w:rsidR="00F115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C327" w14:textId="77777777" w:rsidR="003A4426" w:rsidRDefault="003A4426" w:rsidP="00471668">
      <w:pPr>
        <w:spacing w:before="0" w:after="0" w:line="240" w:lineRule="auto"/>
      </w:pPr>
      <w:r>
        <w:separator/>
      </w:r>
    </w:p>
  </w:endnote>
  <w:endnote w:type="continuationSeparator" w:id="0">
    <w:p w14:paraId="712EDF25" w14:textId="77777777" w:rsidR="003A4426" w:rsidRDefault="003A4426" w:rsidP="004716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7F9B" w14:textId="77777777" w:rsidR="00DA625E" w:rsidRPr="004B08ED" w:rsidRDefault="00DA625E" w:rsidP="00DA625E">
    <w:pPr>
      <w:pStyle w:val="Heading3"/>
      <w:spacing w:before="0" w:line="312" w:lineRule="atLeast"/>
      <w:jc w:val="center"/>
      <w:textAlignment w:val="baseline"/>
      <w:rPr>
        <w:rFonts w:ascii="Georgia" w:hAnsi="Georgia" w:cs="Times New Roman"/>
        <w:b/>
        <w:bCs/>
        <w:color w:val="A487B3"/>
        <w:sz w:val="12"/>
        <w:szCs w:val="12"/>
      </w:rPr>
    </w:pPr>
    <w:r w:rsidRPr="004B08ED">
      <w:rPr>
        <w:rStyle w:val="Strong"/>
        <w:rFonts w:ascii="Georgia" w:hAnsi="Georgia"/>
        <w:color w:val="A487B3"/>
        <w:sz w:val="12"/>
        <w:szCs w:val="12"/>
        <w:bdr w:val="none" w:sz="0" w:space="0" w:color="auto" w:frame="1"/>
      </w:rPr>
      <w:t>…so long as the hoop was unbroken — the people flourished.</w:t>
    </w:r>
  </w:p>
  <w:p w14:paraId="0D262551" w14:textId="77777777" w:rsidR="00DA625E" w:rsidRPr="004B08ED" w:rsidRDefault="00DA625E" w:rsidP="00DA625E">
    <w:pPr>
      <w:pStyle w:val="NormalWeb"/>
      <w:spacing w:before="0" w:beforeAutospacing="0" w:after="0" w:afterAutospacing="0"/>
      <w:jc w:val="center"/>
      <w:textAlignment w:val="baseline"/>
      <w:rPr>
        <w:rFonts w:ascii="Nunito Sans" w:hAnsi="Nunito Sans"/>
        <w:color w:val="A487B3"/>
        <w:sz w:val="12"/>
        <w:szCs w:val="12"/>
      </w:rPr>
    </w:pPr>
    <w:r w:rsidRPr="004B08ED">
      <w:rPr>
        <w:rStyle w:val="Emphasis"/>
        <w:rFonts w:ascii="Nunito Sans" w:hAnsi="Nunito Sans"/>
        <w:color w:val="A487B3"/>
        <w:sz w:val="12"/>
        <w:szCs w:val="12"/>
        <w:bdr w:val="none" w:sz="0" w:space="0" w:color="auto" w:frame="1"/>
      </w:rPr>
      <w:t>— Black Elk, Oglala Sioux Holy Man</w:t>
    </w:r>
  </w:p>
  <w:p w14:paraId="6616CE19" w14:textId="77777777" w:rsidR="00471668" w:rsidRDefault="0047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2551" w14:textId="77777777" w:rsidR="003A4426" w:rsidRDefault="003A4426" w:rsidP="00471668">
      <w:pPr>
        <w:spacing w:before="0" w:after="0" w:line="240" w:lineRule="auto"/>
      </w:pPr>
      <w:r>
        <w:separator/>
      </w:r>
    </w:p>
  </w:footnote>
  <w:footnote w:type="continuationSeparator" w:id="0">
    <w:p w14:paraId="1C5D76C5" w14:textId="77777777" w:rsidR="003A4426" w:rsidRDefault="003A4426" w:rsidP="004716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AA8" w14:textId="30E34977" w:rsidR="00471668" w:rsidRDefault="00471668" w:rsidP="00471668">
    <w:pPr>
      <w:pStyle w:val="Heading1"/>
      <w:rPr>
        <w:color w:val="0A2F41" w:themeColor="accent1" w:themeShade="80"/>
        <w:sz w:val="24"/>
        <w:szCs w:val="24"/>
      </w:rPr>
    </w:pPr>
    <w:r>
      <w:rPr>
        <w:noProof/>
        <w:color w:val="0A2F41" w:themeColor="accent1" w:themeShade="80"/>
        <w:sz w:val="24"/>
        <w:szCs w:val="24"/>
      </w:rPr>
      <w:drawing>
        <wp:anchor distT="0" distB="0" distL="114300" distR="114300" simplePos="0" relativeHeight="251660288" behindDoc="1" locked="0" layoutInCell="1" allowOverlap="1" wp14:anchorId="288E8D64" wp14:editId="7FD2EBCC">
          <wp:simplePos x="0" y="0"/>
          <wp:positionH relativeFrom="column">
            <wp:posOffset>-107430</wp:posOffset>
          </wp:positionH>
          <wp:positionV relativeFrom="paragraph">
            <wp:posOffset>-132080</wp:posOffset>
          </wp:positionV>
          <wp:extent cx="2075180" cy="736600"/>
          <wp:effectExtent l="0" t="0" r="0" b="0"/>
          <wp:wrapTight wrapText="bothSides">
            <wp:wrapPolygon edited="0">
              <wp:start x="11104" y="3724"/>
              <wp:lineTo x="1322" y="4469"/>
              <wp:lineTo x="793" y="4841"/>
              <wp:lineTo x="793" y="20855"/>
              <wp:lineTo x="21151" y="20855"/>
              <wp:lineTo x="20886" y="3724"/>
              <wp:lineTo x="11104" y="3724"/>
            </wp:wrapPolygon>
          </wp:wrapTight>
          <wp:docPr id="5" name="Picture 5" descr="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Rectang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3" r="4963" b="23397"/>
                  <a:stretch/>
                </pic:blipFill>
                <pic:spPr bwMode="auto">
                  <a:xfrm>
                    <a:off x="0" y="0"/>
                    <a:ext cx="207518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A9C">
      <w:rPr>
        <w:noProof/>
        <w:color w:val="0A2F41" w:themeColor="accent1" w:themeShade="80"/>
      </w:rPr>
      <w:drawing>
        <wp:anchor distT="0" distB="0" distL="114300" distR="114300" simplePos="0" relativeHeight="251659264" behindDoc="0" locked="0" layoutInCell="1" allowOverlap="1" wp14:anchorId="59ACF355" wp14:editId="5AFFF864">
          <wp:simplePos x="0" y="0"/>
          <wp:positionH relativeFrom="column">
            <wp:posOffset>2078990</wp:posOffset>
          </wp:positionH>
          <wp:positionV relativeFrom="paragraph">
            <wp:posOffset>47584</wp:posOffset>
          </wp:positionV>
          <wp:extent cx="442452" cy="442452"/>
          <wp:effectExtent l="0" t="0" r="2540" b="254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452" cy="442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5526E" w14:textId="77777777" w:rsidR="003715E7" w:rsidRDefault="003715E7" w:rsidP="00471668">
    <w:pPr>
      <w:pStyle w:val="Heading1"/>
      <w:spacing w:before="0" w:after="0" w:line="240" w:lineRule="auto"/>
      <w:contextualSpacing/>
      <w:rPr>
        <w:color w:val="7030A0"/>
        <w:sz w:val="24"/>
        <w:szCs w:val="24"/>
      </w:rPr>
    </w:pPr>
  </w:p>
  <w:p w14:paraId="0885C2FC" w14:textId="1A862E27" w:rsidR="00471668" w:rsidRDefault="00471668" w:rsidP="00471668">
    <w:pPr>
      <w:pStyle w:val="Heading1"/>
      <w:spacing w:before="0" w:after="0" w:line="240" w:lineRule="auto"/>
      <w:contextualSpacing/>
      <w:rPr>
        <w:b/>
        <w:bCs/>
        <w:color w:val="7030A0"/>
        <w:sz w:val="24"/>
        <w:szCs w:val="24"/>
      </w:rPr>
    </w:pPr>
    <w:r w:rsidRPr="004B08ED">
      <w:rPr>
        <w:color w:val="7030A0"/>
        <w:sz w:val="24"/>
        <w:szCs w:val="24"/>
      </w:rPr>
      <w:t>HASKELL INDIAN NATIONS UNIVERSITY • 155 Indian Avenue, Lawrence KS</w:t>
    </w:r>
    <w:r>
      <w:rPr>
        <w:color w:val="7030A0"/>
        <w:sz w:val="24"/>
        <w:szCs w:val="24"/>
      </w:rPr>
      <w:t xml:space="preserve"> 66046</w:t>
    </w:r>
  </w:p>
  <w:p w14:paraId="0E95EC15" w14:textId="77777777" w:rsidR="00471668" w:rsidRPr="005D58E7" w:rsidRDefault="00471668" w:rsidP="00471668">
    <w:pPr>
      <w:spacing w:before="0" w:after="0" w:line="240" w:lineRule="auto"/>
      <w:contextualSpacing/>
      <w:rPr>
        <w:rFonts w:ascii="Trebuchet MS" w:hAnsi="Trebuchet MS"/>
        <w:color w:val="7030A0"/>
      </w:rPr>
    </w:pPr>
    <w:r>
      <w:rPr>
        <w:rFonts w:ascii="Trebuchet MS" w:hAnsi="Trebuchet MS"/>
        <w:color w:val="7030A0"/>
      </w:rPr>
      <w:t>College of Education and Health Sciences</w:t>
    </w:r>
    <w:r w:rsidRPr="005D58E7">
      <w:rPr>
        <w:rFonts w:ascii="Trebuchet MS" w:hAnsi="Trebuchet MS"/>
        <w:color w:val="7030A0"/>
      </w:rPr>
      <w:t xml:space="preserve"> | (785) 749</w:t>
    </w:r>
    <w:r w:rsidRPr="005D58E7">
      <w:rPr>
        <w:rFonts w:ascii="Trebuchet MS" w:hAnsi="Trebuchet MS"/>
      </w:rPr>
      <w:t>-</w:t>
    </w:r>
    <w:r w:rsidRPr="005D58E7">
      <w:rPr>
        <w:rFonts w:ascii="Trebuchet MS" w:hAnsi="Trebuchet MS"/>
        <w:color w:val="7030A0"/>
      </w:rPr>
      <w:t>84</w:t>
    </w:r>
    <w:r>
      <w:rPr>
        <w:rFonts w:ascii="Trebuchet MS" w:hAnsi="Trebuchet MS"/>
        <w:color w:val="7030A0"/>
      </w:rPr>
      <w:t>26</w:t>
    </w:r>
    <w:r w:rsidRPr="005D58E7">
      <w:rPr>
        <w:rFonts w:ascii="Trebuchet MS" w:hAnsi="Trebuchet MS"/>
        <w:color w:val="7030A0"/>
      </w:rPr>
      <w:t xml:space="preserve"> | www.</w:t>
    </w:r>
    <w:r>
      <w:rPr>
        <w:rFonts w:ascii="Trebuchet MS" w:hAnsi="Trebuchet MS"/>
        <w:color w:val="7030A0"/>
      </w:rPr>
      <w:t>h</w:t>
    </w:r>
    <w:r w:rsidRPr="005D58E7">
      <w:rPr>
        <w:rFonts w:ascii="Trebuchet MS" w:hAnsi="Trebuchet MS"/>
        <w:color w:val="7030A0"/>
      </w:rPr>
      <w:t>askell.edu</w:t>
    </w:r>
  </w:p>
  <w:p w14:paraId="1C14F00E" w14:textId="77777777" w:rsidR="00471668" w:rsidRDefault="00471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3B"/>
    <w:rsid w:val="00012643"/>
    <w:rsid w:val="00080527"/>
    <w:rsid w:val="001F76DB"/>
    <w:rsid w:val="00203E42"/>
    <w:rsid w:val="003715E7"/>
    <w:rsid w:val="003A4426"/>
    <w:rsid w:val="00471668"/>
    <w:rsid w:val="00606A31"/>
    <w:rsid w:val="00774D65"/>
    <w:rsid w:val="00786CE3"/>
    <w:rsid w:val="00894242"/>
    <w:rsid w:val="008B7182"/>
    <w:rsid w:val="009127E1"/>
    <w:rsid w:val="00A95EBF"/>
    <w:rsid w:val="00BB78C4"/>
    <w:rsid w:val="00CE4FF9"/>
    <w:rsid w:val="00DA353A"/>
    <w:rsid w:val="00DA625E"/>
    <w:rsid w:val="00E75A64"/>
    <w:rsid w:val="00F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3E83"/>
  <w15:chartTrackingRefBased/>
  <w15:docId w15:val="{7DF69C34-2787-4BE9-B8A7-B34DE74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3B"/>
    <w:pPr>
      <w:spacing w:before="120" w:after="120" w:line="264" w:lineRule="auto"/>
    </w:pPr>
    <w:rPr>
      <w:rFonts w:eastAsiaTheme="minorEastAsia" w:cs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5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5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5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5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5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5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53B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53B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53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53B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53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53B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5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53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7166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68"/>
    <w:rPr>
      <w:rFonts w:eastAsiaTheme="minorEastAsia" w:cstheme="minorHAns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166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68"/>
    <w:rPr>
      <w:rFonts w:eastAsiaTheme="minorEastAsia" w:cstheme="minorHAnsi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A625E"/>
    <w:rPr>
      <w:b/>
      <w:bCs/>
    </w:rPr>
  </w:style>
  <w:style w:type="character" w:styleId="Emphasis">
    <w:name w:val="Emphasis"/>
    <w:uiPriority w:val="20"/>
    <w:qFormat/>
    <w:rsid w:val="00DA625E"/>
  </w:style>
  <w:style w:type="paragraph" w:styleId="NormalWeb">
    <w:name w:val="Normal (Web)"/>
    <w:basedOn w:val="Normal"/>
    <w:uiPriority w:val="99"/>
    <w:unhideWhenUsed/>
    <w:rsid w:val="00DA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Boyd</dc:creator>
  <cp:keywords/>
  <dc:description/>
  <cp:lastModifiedBy>Jackie Boyd</cp:lastModifiedBy>
  <cp:revision>11</cp:revision>
  <dcterms:created xsi:type="dcterms:W3CDTF">2024-04-24T14:11:00Z</dcterms:created>
  <dcterms:modified xsi:type="dcterms:W3CDTF">2024-06-04T14:48:00Z</dcterms:modified>
</cp:coreProperties>
</file>